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hAnsi="宋体" w:eastAsia="仿宋_GB2312" w:cs="仿宋_GB2312"/>
          <w:b/>
          <w:sz w:val="36"/>
          <w:szCs w:val="36"/>
        </w:rPr>
      </w:pPr>
    </w:p>
    <w:p>
      <w:pPr>
        <w:jc w:val="center"/>
        <w:rPr>
          <w:rFonts w:ascii="仿宋_GB2312" w:hAnsi="宋体" w:eastAsia="仿宋_GB2312" w:cs="仿宋_GB2312"/>
          <w:b/>
          <w:sz w:val="36"/>
          <w:szCs w:val="36"/>
        </w:rPr>
      </w:pPr>
      <w:r>
        <w:rPr>
          <w:rFonts w:hint="eastAsia" w:ascii="仿宋_GB2312" w:hAnsi="宋体" w:eastAsia="仿宋_GB2312" w:cs="仿宋_GB2312"/>
          <w:b/>
          <w:sz w:val="36"/>
          <w:szCs w:val="36"/>
        </w:rPr>
        <w:t>第二章 投标人须知</w:t>
      </w:r>
    </w:p>
    <w:p>
      <w:pPr>
        <w:pStyle w:val="11"/>
        <w:keepNext w:val="0"/>
        <w:keepLines w:val="0"/>
        <w:spacing w:before="0" w:after="0" w:line="500" w:lineRule="exact"/>
        <w:ind w:left="0" w:firstLine="0"/>
        <w:jc w:val="center"/>
        <w:rPr>
          <w:rFonts w:ascii="仿宋_GB2312" w:hAnsi="宋体" w:eastAsia="仿宋_GB2312" w:cs="仿宋_GB2312"/>
          <w:sz w:val="36"/>
          <w:szCs w:val="36"/>
        </w:rPr>
      </w:pPr>
      <w:r>
        <w:rPr>
          <w:rFonts w:hint="eastAsia" w:ascii="仿宋_GB2312" w:hAnsi="宋体" w:eastAsia="仿宋_GB2312" w:cs="仿宋_GB2312"/>
          <w:sz w:val="36"/>
          <w:szCs w:val="36"/>
        </w:rPr>
        <w:t>投标人须知前附表</w:t>
      </w:r>
    </w:p>
    <w:p>
      <w:pPr>
        <w:jc w:val="center"/>
        <w:rPr>
          <w:kern w:val="0"/>
          <w:sz w:val="30"/>
          <w:szCs w:val="30"/>
        </w:rPr>
      </w:pPr>
    </w:p>
    <w:tbl>
      <w:tblPr>
        <w:tblStyle w:val="8"/>
        <w:tblW w:w="99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69"/>
        <w:gridCol w:w="6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34" w:type="dxa"/>
            <w:vAlign w:val="center"/>
          </w:tcPr>
          <w:p>
            <w:pPr>
              <w:spacing w:line="360" w:lineRule="exact"/>
              <w:jc w:val="center"/>
              <w:rPr>
                <w:rFonts w:ascii="仿宋_GB2312" w:hAnsi="宋体" w:eastAsia="仿宋_GB2312"/>
                <w:sz w:val="24"/>
              </w:rPr>
            </w:pPr>
            <w:r>
              <w:rPr>
                <w:rFonts w:hint="eastAsia" w:ascii="仿宋_GB2312" w:hAnsi="宋体" w:eastAsia="仿宋_GB2312" w:cs="仿宋_GB2312"/>
                <w:sz w:val="24"/>
              </w:rPr>
              <w:t>序号</w:t>
            </w:r>
          </w:p>
        </w:tc>
        <w:tc>
          <w:tcPr>
            <w:tcW w:w="2269" w:type="dxa"/>
            <w:vAlign w:val="center"/>
          </w:tcPr>
          <w:p>
            <w:pPr>
              <w:spacing w:line="360" w:lineRule="exact"/>
              <w:jc w:val="center"/>
              <w:rPr>
                <w:rFonts w:ascii="仿宋_GB2312" w:hAnsi="宋体" w:eastAsia="仿宋_GB2312"/>
                <w:sz w:val="24"/>
              </w:rPr>
            </w:pPr>
            <w:r>
              <w:rPr>
                <w:rFonts w:hint="eastAsia" w:ascii="仿宋_GB2312" w:hAnsi="宋体" w:eastAsia="仿宋_GB2312" w:cs="仿宋_GB2312"/>
                <w:sz w:val="24"/>
              </w:rPr>
              <w:t>项目</w:t>
            </w:r>
          </w:p>
        </w:tc>
        <w:tc>
          <w:tcPr>
            <w:tcW w:w="6945" w:type="dxa"/>
            <w:vAlign w:val="center"/>
          </w:tcPr>
          <w:p>
            <w:pPr>
              <w:spacing w:line="360" w:lineRule="exact"/>
              <w:jc w:val="center"/>
              <w:rPr>
                <w:rFonts w:ascii="仿宋_GB2312" w:hAnsi="宋体" w:eastAsia="仿宋_GB2312"/>
                <w:sz w:val="24"/>
              </w:rPr>
            </w:pPr>
            <w:r>
              <w:rPr>
                <w:rFonts w:hint="eastAsia" w:ascii="仿宋_GB2312" w:hAnsi="宋体" w:eastAsia="仿宋_GB2312" w:cs="仿宋_GB2312"/>
                <w:sz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734" w:type="dxa"/>
            <w:vAlign w:val="center"/>
          </w:tcPr>
          <w:p>
            <w:pPr>
              <w:spacing w:line="360" w:lineRule="exact"/>
              <w:jc w:val="center"/>
              <w:rPr>
                <w:rFonts w:ascii="仿宋_GB2312" w:hAnsi="宋体" w:eastAsia="仿宋_GB2312" w:cs="仿宋_GB2312"/>
                <w:sz w:val="24"/>
              </w:rPr>
            </w:pPr>
            <w:r>
              <w:rPr>
                <w:rFonts w:ascii="仿宋_GB2312" w:hAnsi="宋体" w:eastAsia="仿宋_GB2312" w:cs="仿宋_GB2312"/>
                <w:sz w:val="24"/>
              </w:rPr>
              <w:t>1</w:t>
            </w:r>
          </w:p>
        </w:tc>
        <w:tc>
          <w:tcPr>
            <w:tcW w:w="2269" w:type="dxa"/>
            <w:vAlign w:val="center"/>
          </w:tcPr>
          <w:p>
            <w:pPr>
              <w:spacing w:line="360" w:lineRule="exact"/>
              <w:jc w:val="center"/>
              <w:rPr>
                <w:rFonts w:ascii="仿宋_GB2312" w:hAnsi="宋体" w:eastAsia="仿宋_GB2312"/>
                <w:sz w:val="24"/>
              </w:rPr>
            </w:pPr>
            <w:r>
              <w:rPr>
                <w:rFonts w:hint="eastAsia" w:ascii="仿宋_GB2312" w:hAnsi="宋体" w:eastAsia="仿宋_GB2312" w:cs="仿宋_GB2312"/>
                <w:sz w:val="24"/>
              </w:rPr>
              <w:t>采购项目</w:t>
            </w:r>
          </w:p>
        </w:tc>
        <w:tc>
          <w:tcPr>
            <w:tcW w:w="6945" w:type="dxa"/>
            <w:vAlign w:val="center"/>
          </w:tcPr>
          <w:p>
            <w:pPr>
              <w:spacing w:line="360" w:lineRule="exact"/>
              <w:rPr>
                <w:rFonts w:ascii="仿宋_GB2312" w:hAnsi="宋体" w:eastAsia="仿宋_GB2312" w:cs="仿宋_GB2312"/>
                <w:sz w:val="24"/>
              </w:rPr>
            </w:pPr>
            <w:r>
              <w:rPr>
                <w:rFonts w:hint="eastAsia" w:ascii="仿宋_GB2312" w:hAnsi="宋体" w:eastAsia="仿宋_GB2312" w:cs="仿宋_GB2312"/>
                <w:sz w:val="24"/>
              </w:rPr>
              <w:t>项目名称：台州市中医院后勤物业管理服务采购</w:t>
            </w:r>
          </w:p>
          <w:p>
            <w:pPr>
              <w:spacing w:line="360" w:lineRule="exact"/>
              <w:rPr>
                <w:rFonts w:hint="default" w:ascii="仿宋_GB2312" w:hAnsi="宋体" w:cs="仿宋_GB2312" w:eastAsiaTheme="minorEastAsia"/>
                <w:sz w:val="24"/>
                <w:lang w:val="en-US" w:eastAsia="zh-CN"/>
              </w:rPr>
            </w:pPr>
            <w:r>
              <w:rPr>
                <w:rFonts w:hint="eastAsia" w:ascii="仿宋_GB2312" w:hAnsi="宋体" w:eastAsia="仿宋_GB2312" w:cs="仿宋_GB2312"/>
                <w:sz w:val="24"/>
              </w:rPr>
              <w:t>项目编号：</w:t>
            </w:r>
            <w:r>
              <w:rPr>
                <w:rFonts w:hint="eastAsia" w:ascii="宋体" w:hAnsi="宋体" w:cs="Helvetica"/>
                <w:b/>
                <w:bCs/>
                <w:kern w:val="0"/>
                <w:szCs w:val="21"/>
              </w:rPr>
              <w:t>HQBZBHQWYGL202209</w:t>
            </w:r>
            <w:r>
              <w:rPr>
                <w:rFonts w:hint="eastAsia" w:ascii="宋体" w:hAnsi="宋体" w:cs="Helvetica"/>
                <w:b/>
                <w:bCs/>
                <w:kern w:val="0"/>
                <w:szCs w:val="21"/>
                <w:lang w:val="en-US" w:eastAsia="zh-CN"/>
              </w:rPr>
              <w:t>30</w:t>
            </w:r>
          </w:p>
          <w:p>
            <w:pPr>
              <w:spacing w:line="360" w:lineRule="exact"/>
              <w:rPr>
                <w:rFonts w:ascii="仿宋_GB2312" w:hAnsi="宋体" w:eastAsia="仿宋_GB2312"/>
                <w:sz w:val="24"/>
              </w:rPr>
            </w:pPr>
            <w:r>
              <w:rPr>
                <w:rFonts w:hint="eastAsia" w:ascii="仿宋_GB2312" w:hAnsi="宋体" w:eastAsia="仿宋_GB2312" w:cs="仿宋_GB2312"/>
                <w:sz w:val="24"/>
              </w:rPr>
              <w:t>项目要求：详见“采购需求”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734" w:type="dxa"/>
            <w:vAlign w:val="center"/>
          </w:tcPr>
          <w:p>
            <w:pPr>
              <w:spacing w:line="360" w:lineRule="exact"/>
              <w:jc w:val="center"/>
              <w:rPr>
                <w:rFonts w:ascii="仿宋_GB2312" w:hAnsi="宋体" w:eastAsia="仿宋_GB2312" w:cs="仿宋_GB2312"/>
                <w:sz w:val="24"/>
              </w:rPr>
            </w:pPr>
            <w:r>
              <w:rPr>
                <w:rFonts w:ascii="仿宋_GB2312" w:hAnsi="宋体" w:eastAsia="仿宋_GB2312" w:cs="仿宋_GB2312"/>
                <w:sz w:val="24"/>
              </w:rPr>
              <w:t>2</w:t>
            </w:r>
          </w:p>
        </w:tc>
        <w:tc>
          <w:tcPr>
            <w:tcW w:w="2269" w:type="dxa"/>
            <w:vAlign w:val="center"/>
          </w:tcPr>
          <w:p>
            <w:pPr>
              <w:spacing w:line="360" w:lineRule="exact"/>
              <w:jc w:val="center"/>
              <w:rPr>
                <w:rFonts w:ascii="仿宋_GB2312" w:hAnsi="宋体" w:eastAsia="仿宋_GB2312"/>
                <w:sz w:val="24"/>
              </w:rPr>
            </w:pPr>
            <w:r>
              <w:rPr>
                <w:rFonts w:hint="eastAsia" w:ascii="仿宋_GB2312" w:hAnsi="宋体" w:eastAsia="仿宋_GB2312" w:cs="仿宋_GB2312"/>
                <w:sz w:val="24"/>
              </w:rPr>
              <w:t>采购方式</w:t>
            </w:r>
          </w:p>
        </w:tc>
        <w:tc>
          <w:tcPr>
            <w:tcW w:w="6945" w:type="dxa"/>
            <w:vAlign w:val="center"/>
          </w:tcPr>
          <w:p>
            <w:pPr>
              <w:spacing w:line="360" w:lineRule="exact"/>
              <w:rPr>
                <w:rFonts w:ascii="仿宋_GB2312" w:hAnsi="宋体" w:eastAsia="仿宋_GB2312"/>
                <w:sz w:val="24"/>
              </w:rPr>
            </w:pPr>
            <w:r>
              <w:rPr>
                <w:rFonts w:hint="eastAsia" w:ascii="仿宋_GB2312" w:hAnsi="宋体" w:eastAsia="仿宋_GB2312" w:cs="仿宋_GB2312"/>
                <w:sz w:val="24"/>
              </w:rPr>
              <w:t>集中</w:t>
            </w:r>
            <w:r>
              <w:rPr>
                <w:rFonts w:ascii="仿宋_GB2312" w:hAnsi="宋体" w:eastAsia="仿宋_GB2312" w:cs="仿宋_GB2312"/>
                <w:sz w:val="24"/>
              </w:rPr>
              <w:t>采购</w:t>
            </w:r>
            <w:r>
              <w:rPr>
                <w:rFonts w:hint="eastAsia" w:ascii="仿宋_GB2312" w:hAnsi="宋体" w:eastAsia="仿宋_GB2312" w:cs="仿宋_GB2312"/>
                <w:sz w:val="24"/>
              </w:rPr>
              <w:t>-电子卖场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734" w:type="dxa"/>
            <w:vAlign w:val="center"/>
          </w:tcPr>
          <w:p>
            <w:pPr>
              <w:spacing w:line="360" w:lineRule="exact"/>
              <w:jc w:val="center"/>
              <w:rPr>
                <w:rFonts w:ascii="仿宋_GB2312" w:hAnsi="宋体" w:eastAsia="仿宋_GB2312" w:cs="仿宋_GB2312"/>
                <w:sz w:val="24"/>
              </w:rPr>
            </w:pPr>
            <w:r>
              <w:rPr>
                <w:rFonts w:hint="eastAsia" w:ascii="仿宋_GB2312" w:hAnsi="宋体" w:eastAsia="仿宋_GB2312" w:cs="仿宋_GB2312"/>
                <w:sz w:val="24"/>
              </w:rPr>
              <w:t>3</w:t>
            </w:r>
          </w:p>
        </w:tc>
        <w:tc>
          <w:tcPr>
            <w:tcW w:w="2269" w:type="dxa"/>
            <w:vAlign w:val="center"/>
          </w:tcPr>
          <w:p>
            <w:pPr>
              <w:spacing w:line="360" w:lineRule="exact"/>
              <w:jc w:val="center"/>
              <w:rPr>
                <w:rFonts w:ascii="仿宋_GB2312" w:hAnsi="宋体" w:eastAsia="仿宋_GB2312"/>
                <w:sz w:val="24"/>
              </w:rPr>
            </w:pPr>
            <w:r>
              <w:rPr>
                <w:rFonts w:hint="eastAsia" w:ascii="仿宋_GB2312" w:hAnsi="宋体" w:eastAsia="仿宋_GB2312" w:cs="仿宋_GB2312"/>
                <w:sz w:val="24"/>
              </w:rPr>
              <w:t>投标人资格要求</w:t>
            </w:r>
          </w:p>
        </w:tc>
        <w:tc>
          <w:tcPr>
            <w:tcW w:w="6945" w:type="dxa"/>
            <w:vAlign w:val="center"/>
          </w:tcPr>
          <w:p>
            <w:pPr>
              <w:spacing w:line="360" w:lineRule="exact"/>
              <w:rPr>
                <w:rFonts w:ascii="仿宋_GB2312" w:eastAsia="仿宋_GB2312"/>
                <w:sz w:val="24"/>
              </w:rPr>
            </w:pPr>
            <w:r>
              <w:rPr>
                <w:rFonts w:hint="eastAsia" w:ascii="仿宋_GB2312" w:hAnsi="宋体" w:eastAsia="仿宋_GB2312" w:cs="仿宋_GB2312"/>
                <w:sz w:val="24"/>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34" w:type="dxa"/>
            <w:vAlign w:val="center"/>
          </w:tcPr>
          <w:p>
            <w:pPr>
              <w:spacing w:line="360" w:lineRule="exact"/>
              <w:jc w:val="center"/>
              <w:rPr>
                <w:rFonts w:ascii="仿宋_GB2312" w:hAnsi="宋体" w:eastAsia="仿宋_GB2312" w:cs="仿宋_GB2312"/>
                <w:sz w:val="24"/>
              </w:rPr>
            </w:pPr>
            <w:r>
              <w:rPr>
                <w:rFonts w:hint="eastAsia" w:ascii="仿宋_GB2312" w:hAnsi="宋体" w:eastAsia="仿宋_GB2312" w:cs="仿宋_GB2312"/>
                <w:sz w:val="24"/>
              </w:rPr>
              <w:t>4</w:t>
            </w:r>
          </w:p>
        </w:tc>
        <w:tc>
          <w:tcPr>
            <w:tcW w:w="2269" w:type="dxa"/>
            <w:vAlign w:val="center"/>
          </w:tcPr>
          <w:p>
            <w:pPr>
              <w:spacing w:line="360" w:lineRule="exact"/>
              <w:jc w:val="center"/>
              <w:rPr>
                <w:rFonts w:ascii="仿宋_GB2312" w:hAnsi="宋体" w:eastAsia="仿宋_GB2312"/>
                <w:sz w:val="24"/>
              </w:rPr>
            </w:pPr>
            <w:r>
              <w:rPr>
                <w:rFonts w:hint="eastAsia" w:ascii="仿宋_GB2312" w:hAnsi="宋体" w:eastAsia="仿宋_GB2312" w:cs="仿宋_GB2312"/>
                <w:sz w:val="24"/>
              </w:rPr>
              <w:t>投标文件份数</w:t>
            </w:r>
          </w:p>
        </w:tc>
        <w:tc>
          <w:tcPr>
            <w:tcW w:w="6945" w:type="dxa"/>
            <w:vAlign w:val="center"/>
          </w:tcPr>
          <w:p>
            <w:pPr>
              <w:spacing w:line="360" w:lineRule="exact"/>
              <w:rPr>
                <w:rFonts w:ascii="仿宋_GB2312" w:hAnsi="宋体" w:eastAsia="仿宋_GB2312" w:cs="仿宋_GB2312"/>
                <w:sz w:val="24"/>
              </w:rPr>
            </w:pPr>
            <w:r>
              <w:rPr>
                <w:rFonts w:hint="eastAsia" w:ascii="仿宋_GB2312" w:hAnsi="宋体" w:eastAsia="仿宋_GB2312" w:cs="仿宋_GB2312"/>
                <w:sz w:val="24"/>
              </w:rPr>
              <w:t>资信技术文件正本一份、副本贰份；商务报价文件正本一份、副本贰份；原件资料一份。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34" w:type="dxa"/>
            <w:vAlign w:val="center"/>
          </w:tcPr>
          <w:p>
            <w:pPr>
              <w:spacing w:line="360" w:lineRule="exact"/>
              <w:jc w:val="center"/>
              <w:rPr>
                <w:rFonts w:ascii="仿宋_GB2312" w:hAnsi="宋体" w:eastAsia="仿宋_GB2312" w:cs="仿宋_GB2312"/>
                <w:sz w:val="24"/>
              </w:rPr>
            </w:pPr>
            <w:r>
              <w:rPr>
                <w:rFonts w:hint="eastAsia" w:ascii="仿宋_GB2312" w:hAnsi="宋体" w:eastAsia="仿宋_GB2312" w:cs="仿宋_GB2312"/>
                <w:sz w:val="24"/>
              </w:rPr>
              <w:t>5</w:t>
            </w:r>
          </w:p>
        </w:tc>
        <w:tc>
          <w:tcPr>
            <w:tcW w:w="2269" w:type="dxa"/>
            <w:vAlign w:val="center"/>
          </w:tcPr>
          <w:p>
            <w:pPr>
              <w:spacing w:line="360" w:lineRule="exact"/>
              <w:jc w:val="center"/>
              <w:rPr>
                <w:rFonts w:ascii="仿宋_GB2312" w:hAnsi="宋体" w:eastAsia="仿宋_GB2312" w:cs="仿宋_GB2312"/>
                <w:sz w:val="24"/>
              </w:rPr>
            </w:pPr>
            <w:r>
              <w:rPr>
                <w:rFonts w:hint="eastAsia" w:ascii="仿宋_GB2312" w:hAnsi="宋体" w:eastAsia="仿宋_GB2312" w:cs="仿宋_GB2312"/>
                <w:sz w:val="24"/>
              </w:rPr>
              <w:t>投标有效期</w:t>
            </w:r>
          </w:p>
        </w:tc>
        <w:tc>
          <w:tcPr>
            <w:tcW w:w="6945" w:type="dxa"/>
            <w:vAlign w:val="center"/>
          </w:tcPr>
          <w:p>
            <w:pPr>
              <w:spacing w:line="360" w:lineRule="exact"/>
              <w:rPr>
                <w:rFonts w:ascii="仿宋_GB2312" w:hAnsi="宋体" w:eastAsia="仿宋_GB2312" w:cs="仿宋_GB2312"/>
                <w:sz w:val="24"/>
              </w:rPr>
            </w:pPr>
            <w:r>
              <w:rPr>
                <w:rFonts w:hint="eastAsia" w:ascii="仿宋_GB2312" w:hAnsi="宋体" w:eastAsia="仿宋_GB2312" w:cs="仿宋_GB2312"/>
                <w:sz w:val="24"/>
              </w:rPr>
              <w:t>自投标截止日起 90 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34" w:type="dxa"/>
            <w:vAlign w:val="center"/>
          </w:tcPr>
          <w:p>
            <w:pPr>
              <w:spacing w:line="360" w:lineRule="exact"/>
              <w:jc w:val="center"/>
              <w:rPr>
                <w:rFonts w:ascii="仿宋_GB2312" w:hAnsi="宋体" w:eastAsia="仿宋_GB2312" w:cs="仿宋_GB2312"/>
                <w:sz w:val="24"/>
              </w:rPr>
            </w:pPr>
            <w:r>
              <w:rPr>
                <w:rFonts w:hint="eastAsia" w:ascii="仿宋_GB2312" w:hAnsi="宋体" w:eastAsia="仿宋_GB2312" w:cs="仿宋_GB2312"/>
                <w:sz w:val="24"/>
              </w:rPr>
              <w:t>6</w:t>
            </w:r>
          </w:p>
        </w:tc>
        <w:tc>
          <w:tcPr>
            <w:tcW w:w="2269" w:type="dxa"/>
            <w:vAlign w:val="center"/>
          </w:tcPr>
          <w:p>
            <w:pPr>
              <w:spacing w:line="360" w:lineRule="exact"/>
              <w:jc w:val="center"/>
              <w:rPr>
                <w:rFonts w:ascii="仿宋_GB2312" w:hAnsi="宋体" w:eastAsia="仿宋_GB2312" w:cs="仿宋_GB2312"/>
                <w:sz w:val="24"/>
              </w:rPr>
            </w:pPr>
            <w:r>
              <w:rPr>
                <w:rFonts w:hint="eastAsia" w:ascii="仿宋_GB2312" w:hAnsi="宋体" w:eastAsia="仿宋_GB2312" w:cs="仿宋_GB2312"/>
                <w:sz w:val="24"/>
              </w:rPr>
              <w:t>递交投标文件截止时间与开标时间</w:t>
            </w:r>
          </w:p>
        </w:tc>
        <w:tc>
          <w:tcPr>
            <w:tcW w:w="6945" w:type="dxa"/>
            <w:vAlign w:val="center"/>
          </w:tcPr>
          <w:p>
            <w:pPr>
              <w:spacing w:line="360" w:lineRule="exact"/>
              <w:rPr>
                <w:rFonts w:ascii="仿宋_GB2312" w:hAnsi="宋体" w:eastAsia="仿宋_GB2312" w:cs="仿宋_GB2312"/>
                <w:color w:val="000000" w:themeColor="text1"/>
                <w:sz w:val="24"/>
                <w14:textFill>
                  <w14:solidFill>
                    <w14:schemeClr w14:val="tx1"/>
                  </w14:solidFill>
                </w14:textFill>
              </w:rPr>
            </w:pPr>
            <w:r>
              <w:rPr>
                <w:rFonts w:hint="eastAsia" w:ascii="仿宋_GB2312" w:hAnsi="宋体" w:eastAsia="仿宋_GB2312" w:cs="仿宋_GB2312"/>
                <w:sz w:val="24"/>
              </w:rPr>
              <w:t>截止时间</w:t>
            </w:r>
            <w:r>
              <w:rPr>
                <w:rFonts w:hint="eastAsia" w:ascii="仿宋_GB2312" w:hAnsi="宋体" w:eastAsia="仿宋_GB2312" w:cs="仿宋_GB2312"/>
                <w:color w:val="000000" w:themeColor="text1"/>
                <w:sz w:val="24"/>
                <w14:textFill>
                  <w14:solidFill>
                    <w14:schemeClr w14:val="tx1"/>
                  </w14:solidFill>
                </w14:textFill>
              </w:rPr>
              <w:t>：</w:t>
            </w:r>
            <w:r>
              <w:rPr>
                <w:rFonts w:ascii="仿宋_GB2312" w:hAnsi="宋体" w:eastAsia="仿宋_GB2312" w:cs="仿宋_GB2312"/>
                <w:color w:val="000000" w:themeColor="text1"/>
                <w:sz w:val="24"/>
                <w14:textFill>
                  <w14:solidFill>
                    <w14:schemeClr w14:val="tx1"/>
                  </w14:solidFill>
                </w14:textFill>
              </w:rPr>
              <w:t>2022年</w:t>
            </w:r>
            <w:r>
              <w:rPr>
                <w:rFonts w:hint="eastAsia" w:ascii="仿宋_GB2312" w:hAnsi="宋体" w:eastAsia="仿宋_GB2312" w:cs="仿宋_GB2312"/>
                <w:color w:val="000000" w:themeColor="text1"/>
                <w:sz w:val="24"/>
                <w:lang w:val="en-US" w:eastAsia="zh-CN"/>
                <w14:textFill>
                  <w14:solidFill>
                    <w14:schemeClr w14:val="tx1"/>
                  </w14:solidFill>
                </w14:textFill>
              </w:rPr>
              <w:t>10</w:t>
            </w:r>
            <w:r>
              <w:rPr>
                <w:rFonts w:ascii="仿宋_GB2312" w:hAnsi="宋体" w:eastAsia="仿宋_GB2312" w:cs="仿宋_GB2312"/>
                <w:color w:val="000000" w:themeColor="text1"/>
                <w:sz w:val="24"/>
                <w14:textFill>
                  <w14:solidFill>
                    <w14:schemeClr w14:val="tx1"/>
                  </w14:solidFill>
                </w14:textFill>
              </w:rPr>
              <w:t>月</w:t>
            </w:r>
            <w:r>
              <w:rPr>
                <w:rFonts w:hint="eastAsia" w:ascii="仿宋_GB2312" w:hAnsi="宋体" w:eastAsia="仿宋_GB2312" w:cs="仿宋_GB2312"/>
                <w:color w:val="000000" w:themeColor="text1"/>
                <w:sz w:val="24"/>
                <w:lang w:val="en-US" w:eastAsia="zh-CN"/>
                <w14:textFill>
                  <w14:solidFill>
                    <w14:schemeClr w14:val="tx1"/>
                  </w14:solidFill>
                </w14:textFill>
              </w:rPr>
              <w:t>20</w:t>
            </w:r>
            <w:r>
              <w:rPr>
                <w:rFonts w:ascii="仿宋_GB2312" w:hAnsi="宋体" w:eastAsia="仿宋_GB2312" w:cs="仿宋_GB2312"/>
                <w:color w:val="000000" w:themeColor="text1"/>
                <w:sz w:val="24"/>
                <w14:textFill>
                  <w14:solidFill>
                    <w14:schemeClr w14:val="tx1"/>
                  </w14:solidFill>
                </w14:textFill>
              </w:rPr>
              <w:t>日</w:t>
            </w:r>
            <w:r>
              <w:rPr>
                <w:rFonts w:hint="eastAsia" w:ascii="仿宋_GB2312" w:hAnsi="宋体" w:eastAsia="仿宋_GB2312" w:cs="仿宋_GB2312"/>
                <w:color w:val="000000" w:themeColor="text1"/>
                <w:sz w:val="24"/>
                <w14:textFill>
                  <w14:solidFill>
                    <w14:schemeClr w14:val="tx1"/>
                  </w14:solidFill>
                </w14:textFill>
              </w:rPr>
              <w:t>上</w:t>
            </w:r>
            <w:r>
              <w:rPr>
                <w:rFonts w:ascii="仿宋_GB2312" w:hAnsi="宋体" w:eastAsia="仿宋_GB2312" w:cs="仿宋_GB2312"/>
                <w:color w:val="000000" w:themeColor="text1"/>
                <w:sz w:val="24"/>
                <w14:textFill>
                  <w14:solidFill>
                    <w14:schemeClr w14:val="tx1"/>
                  </w14:solidFill>
                </w14:textFill>
              </w:rPr>
              <w:t>午12:00整</w:t>
            </w:r>
          </w:p>
          <w:p>
            <w:pPr>
              <w:spacing w:line="360" w:lineRule="exact"/>
              <w:rPr>
                <w:rFonts w:hint="default" w:ascii="仿宋_GB2312" w:hAnsi="宋体" w:eastAsia="仿宋_GB2312" w:cs="仿宋_GB2312"/>
                <w:sz w:val="24"/>
                <w:lang w:val="en-US" w:eastAsia="zh-CN"/>
              </w:rPr>
            </w:pPr>
            <w:r>
              <w:rPr>
                <w:rFonts w:hint="eastAsia" w:ascii="仿宋_GB2312" w:hAnsi="宋体" w:eastAsia="仿宋_GB2312" w:cs="仿宋_GB2312"/>
                <w:color w:val="000000" w:themeColor="text1"/>
                <w:sz w:val="24"/>
                <w14:textFill>
                  <w14:solidFill>
                    <w14:schemeClr w14:val="tx1"/>
                  </w14:solidFill>
                </w14:textFill>
              </w:rPr>
              <w:t>开标时间</w:t>
            </w:r>
            <w:r>
              <w:rPr>
                <w:rFonts w:ascii="仿宋_GB2312" w:hAnsi="宋体" w:eastAsia="仿宋_GB2312" w:cs="仿宋_GB2312"/>
                <w:color w:val="000000" w:themeColor="text1"/>
                <w:sz w:val="24"/>
                <w14:textFill>
                  <w14:solidFill>
                    <w14:schemeClr w14:val="tx1"/>
                  </w14:solidFill>
                </w14:textFill>
              </w:rPr>
              <w:t>：</w:t>
            </w:r>
            <w:r>
              <w:rPr>
                <w:rFonts w:hint="eastAsia" w:ascii="仿宋_GB2312" w:hAnsi="宋体" w:eastAsia="仿宋_GB2312" w:cs="仿宋_GB2312"/>
                <w:color w:val="000000" w:themeColor="text1"/>
                <w:sz w:val="24"/>
                <w14:textFill>
                  <w14:solidFill>
                    <w14:schemeClr w14:val="tx1"/>
                  </w14:solidFill>
                </w14:textFill>
              </w:rPr>
              <w:t>2022年</w:t>
            </w:r>
            <w:r>
              <w:rPr>
                <w:rFonts w:hint="eastAsia" w:ascii="仿宋_GB2312" w:hAnsi="宋体" w:eastAsia="仿宋_GB2312" w:cs="仿宋_GB2312"/>
                <w:color w:val="000000" w:themeColor="text1"/>
                <w:sz w:val="24"/>
                <w:lang w:val="en-US" w:eastAsia="zh-CN"/>
                <w14:textFill>
                  <w14:solidFill>
                    <w14:schemeClr w14:val="tx1"/>
                  </w14:solidFill>
                </w14:textFill>
              </w:rPr>
              <w:t>10</w:t>
            </w:r>
            <w:r>
              <w:rPr>
                <w:rFonts w:hint="eastAsia" w:ascii="仿宋_GB2312" w:hAnsi="宋体" w:eastAsia="仿宋_GB2312" w:cs="仿宋_GB2312"/>
                <w:color w:val="000000" w:themeColor="text1"/>
                <w:sz w:val="24"/>
                <w14:textFill>
                  <w14:solidFill>
                    <w14:schemeClr w14:val="tx1"/>
                  </w14:solidFill>
                </w14:textFill>
              </w:rPr>
              <w:t>月</w:t>
            </w:r>
            <w:r>
              <w:rPr>
                <w:rFonts w:hint="eastAsia" w:ascii="仿宋_GB2312" w:hAnsi="宋体" w:eastAsia="仿宋_GB2312" w:cs="仿宋_GB2312"/>
                <w:color w:val="000000" w:themeColor="text1"/>
                <w:sz w:val="24"/>
                <w:lang w:val="en-US" w:eastAsia="zh-CN"/>
                <w14:textFill>
                  <w14:solidFill>
                    <w14:schemeClr w14:val="tx1"/>
                  </w14:solidFill>
                </w14:textFill>
              </w:rPr>
              <w:t>21</w:t>
            </w:r>
            <w:r>
              <w:rPr>
                <w:rFonts w:hint="eastAsia" w:ascii="仿宋_GB2312" w:hAnsi="宋体" w:eastAsia="仿宋_GB2312" w:cs="仿宋_GB2312"/>
                <w:color w:val="000000" w:themeColor="text1"/>
                <w:sz w:val="24"/>
                <w14:textFill>
                  <w14:solidFill>
                    <w14:schemeClr w14:val="tx1"/>
                  </w14:solidFill>
                </w14:textFill>
              </w:rPr>
              <w:t>日</w:t>
            </w:r>
            <w:r>
              <w:rPr>
                <w:rFonts w:ascii="仿宋_GB2312" w:hAnsi="宋体" w:eastAsia="仿宋_GB2312" w:cs="仿宋_GB2312"/>
                <w:color w:val="000000" w:themeColor="text1"/>
                <w:sz w:val="24"/>
                <w14:textFill>
                  <w14:solidFill>
                    <w14:schemeClr w14:val="tx1"/>
                  </w14:solidFill>
                </w14:textFill>
              </w:rPr>
              <w:t>下午</w:t>
            </w:r>
            <w:r>
              <w:rPr>
                <w:rFonts w:hint="eastAsia" w:ascii="仿宋_GB2312" w:hAnsi="宋体" w:eastAsia="仿宋_GB2312" w:cs="仿宋_GB2312"/>
                <w:color w:val="000000" w:themeColor="text1"/>
                <w:sz w:val="24"/>
                <w14:textFill>
                  <w14:solidFill>
                    <w14:schemeClr w14:val="tx1"/>
                  </w14:solidFill>
                </w14:textFill>
              </w:rPr>
              <w:t>14:</w:t>
            </w:r>
            <w:r>
              <w:rPr>
                <w:rFonts w:hint="eastAsia" w:ascii="仿宋_GB2312" w:hAnsi="宋体" w:eastAsia="仿宋_GB2312" w:cs="仿宋_GB2312"/>
                <w:color w:val="000000" w:themeColor="text1"/>
                <w:sz w:val="24"/>
                <w:lang w:val="en-US" w:eastAsia="zh-CN"/>
                <w14:textFill>
                  <w14:solidFill>
                    <w14:schemeClr w14:val="tx1"/>
                  </w14:solidFill>
                </w14:textFill>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34" w:type="dxa"/>
            <w:vAlign w:val="center"/>
          </w:tcPr>
          <w:p>
            <w:pPr>
              <w:spacing w:line="360" w:lineRule="exact"/>
              <w:jc w:val="center"/>
              <w:rPr>
                <w:rFonts w:ascii="仿宋_GB2312" w:hAnsi="宋体" w:eastAsia="仿宋_GB2312" w:cs="仿宋_GB2312"/>
                <w:sz w:val="24"/>
              </w:rPr>
            </w:pPr>
            <w:r>
              <w:rPr>
                <w:rFonts w:hint="eastAsia" w:ascii="仿宋_GB2312" w:hAnsi="宋体" w:eastAsia="仿宋_GB2312" w:cs="仿宋_GB2312"/>
                <w:sz w:val="24"/>
              </w:rPr>
              <w:t>7</w:t>
            </w:r>
          </w:p>
        </w:tc>
        <w:tc>
          <w:tcPr>
            <w:tcW w:w="2269" w:type="dxa"/>
            <w:vAlign w:val="center"/>
          </w:tcPr>
          <w:p>
            <w:pPr>
              <w:spacing w:line="360" w:lineRule="exact"/>
              <w:jc w:val="center"/>
              <w:rPr>
                <w:rFonts w:ascii="仿宋_GB2312" w:hAnsi="宋体" w:eastAsia="仿宋_GB2312" w:cs="仿宋_GB2312"/>
                <w:color w:val="000000"/>
                <w:sz w:val="24"/>
              </w:rPr>
            </w:pPr>
            <w:r>
              <w:rPr>
                <w:rFonts w:hint="eastAsia" w:ascii="仿宋_GB2312" w:hAnsi="宋体" w:eastAsia="仿宋_GB2312" w:cs="仿宋_GB2312"/>
                <w:color w:val="000000"/>
                <w:sz w:val="24"/>
              </w:rPr>
              <w:t>递交报名表地点</w:t>
            </w:r>
          </w:p>
          <w:p>
            <w:pPr>
              <w:spacing w:line="360" w:lineRule="exact"/>
              <w:jc w:val="center"/>
              <w:rPr>
                <w:rFonts w:ascii="仿宋_GB2312" w:hAnsi="宋体" w:eastAsia="仿宋_GB2312" w:cs="仿宋_GB2312"/>
                <w:color w:val="000000"/>
                <w:sz w:val="24"/>
              </w:rPr>
            </w:pPr>
            <w:r>
              <w:rPr>
                <w:rFonts w:hint="eastAsia" w:ascii="仿宋_GB2312" w:hAnsi="宋体" w:eastAsia="仿宋_GB2312" w:cs="仿宋_GB2312"/>
                <w:color w:val="000000"/>
                <w:sz w:val="24"/>
              </w:rPr>
              <w:t>开标地点</w:t>
            </w:r>
          </w:p>
        </w:tc>
        <w:tc>
          <w:tcPr>
            <w:tcW w:w="6945" w:type="dxa"/>
            <w:vAlign w:val="center"/>
          </w:tcPr>
          <w:p>
            <w:pPr>
              <w:spacing w:line="360" w:lineRule="exact"/>
              <w:rPr>
                <w:rFonts w:ascii="仿宋_GB2312" w:eastAsia="仿宋_GB2312"/>
                <w:color w:val="000000"/>
                <w:sz w:val="24"/>
              </w:rPr>
            </w:pPr>
            <w:r>
              <w:rPr>
                <w:rFonts w:hint="eastAsia" w:ascii="仿宋_GB2312" w:hAnsi="宋体" w:eastAsia="仿宋_GB2312" w:cs="仿宋_GB2312"/>
                <w:color w:val="000000"/>
                <w:sz w:val="24"/>
              </w:rPr>
              <w:t>报名表</w:t>
            </w:r>
            <w:r>
              <w:rPr>
                <w:rFonts w:ascii="仿宋_GB2312" w:hAnsi="宋体" w:eastAsia="仿宋_GB2312" w:cs="仿宋_GB2312"/>
                <w:color w:val="000000"/>
                <w:sz w:val="24"/>
              </w:rPr>
              <w:t>提交</w:t>
            </w:r>
            <w:r>
              <w:rPr>
                <w:rFonts w:hint="eastAsia" w:ascii="仿宋_GB2312" w:hAnsi="宋体" w:eastAsia="仿宋_GB2312" w:cs="仿宋_GB2312"/>
                <w:color w:val="000000"/>
                <w:sz w:val="24"/>
              </w:rPr>
              <w:t>地点：台州市</w:t>
            </w:r>
            <w:r>
              <w:rPr>
                <w:rFonts w:ascii="仿宋_GB2312" w:hAnsi="宋体" w:eastAsia="仿宋_GB2312" w:cs="仿宋_GB2312"/>
                <w:color w:val="000000"/>
                <w:sz w:val="24"/>
              </w:rPr>
              <w:t>中医院后勤保障部</w:t>
            </w:r>
            <w:r>
              <w:rPr>
                <w:rFonts w:hint="eastAsia" w:ascii="仿宋_GB2312" w:hAnsi="宋体" w:eastAsia="仿宋_GB2312" w:cs="仿宋_GB2312"/>
                <w:color w:val="000000"/>
                <w:sz w:val="24"/>
              </w:rPr>
              <w:t>（</w:t>
            </w:r>
            <w:r>
              <w:rPr>
                <w:rFonts w:hint="eastAsia" w:ascii="仿宋_GB2312" w:eastAsia="仿宋_GB2312"/>
                <w:color w:val="000000"/>
                <w:sz w:val="24"/>
              </w:rPr>
              <w:t>椒江区中山西路278号）</w:t>
            </w:r>
          </w:p>
          <w:p>
            <w:pPr>
              <w:spacing w:line="360" w:lineRule="exact"/>
              <w:rPr>
                <w:rFonts w:ascii="仿宋_GB2312" w:hAnsi="宋体" w:eastAsia="仿宋_GB2312"/>
                <w:color w:val="000000"/>
                <w:sz w:val="24"/>
              </w:rPr>
            </w:pPr>
            <w:r>
              <w:rPr>
                <w:rFonts w:hint="eastAsia" w:ascii="仿宋_GB2312" w:hAnsi="宋体" w:eastAsia="仿宋_GB2312"/>
                <w:color w:val="000000"/>
                <w:sz w:val="24"/>
              </w:rPr>
              <w:t>开标</w:t>
            </w:r>
            <w:r>
              <w:rPr>
                <w:rFonts w:ascii="仿宋_GB2312" w:hAnsi="宋体" w:eastAsia="仿宋_GB2312"/>
                <w:color w:val="000000"/>
                <w:sz w:val="24"/>
              </w:rPr>
              <w:t>地点：台州市中医院急诊楼</w:t>
            </w:r>
            <w:r>
              <w:rPr>
                <w:rFonts w:hint="eastAsia" w:ascii="仿宋_GB2312" w:hAnsi="宋体" w:eastAsia="仿宋_GB2312"/>
                <w:color w:val="000000"/>
                <w:sz w:val="24"/>
              </w:rPr>
              <w:t>5楼</w:t>
            </w:r>
            <w:r>
              <w:rPr>
                <w:rFonts w:ascii="仿宋_GB2312" w:hAnsi="宋体" w:eastAsia="仿宋_GB2312"/>
                <w:color w:val="000000"/>
                <w:sz w:val="24"/>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 w:hRule="atLeast"/>
          <w:jc w:val="center"/>
        </w:trPr>
        <w:tc>
          <w:tcPr>
            <w:tcW w:w="734" w:type="dxa"/>
            <w:vAlign w:val="center"/>
          </w:tcPr>
          <w:p>
            <w:pPr>
              <w:spacing w:line="360" w:lineRule="exact"/>
              <w:jc w:val="center"/>
              <w:rPr>
                <w:rFonts w:ascii="仿宋_GB2312" w:hAnsi="宋体" w:eastAsia="仿宋_GB2312" w:cs="仿宋_GB2312"/>
                <w:sz w:val="24"/>
              </w:rPr>
            </w:pPr>
            <w:r>
              <w:rPr>
                <w:rFonts w:ascii="仿宋_GB2312" w:hAnsi="宋体" w:eastAsia="仿宋_GB2312" w:cs="仿宋_GB2312"/>
                <w:sz w:val="24"/>
              </w:rPr>
              <w:t>8</w:t>
            </w:r>
          </w:p>
        </w:tc>
        <w:tc>
          <w:tcPr>
            <w:tcW w:w="2269" w:type="dxa"/>
            <w:vAlign w:val="center"/>
          </w:tcPr>
          <w:p>
            <w:pPr>
              <w:spacing w:line="360" w:lineRule="exact"/>
              <w:jc w:val="center"/>
              <w:rPr>
                <w:rFonts w:ascii="仿宋_GB2312" w:hAnsi="宋体" w:eastAsia="仿宋_GB2312" w:cs="仿宋_GB2312"/>
                <w:color w:val="000000"/>
                <w:sz w:val="24"/>
              </w:rPr>
            </w:pPr>
            <w:r>
              <w:rPr>
                <w:rFonts w:hint="eastAsia" w:ascii="仿宋_GB2312" w:hAnsi="宋体" w:eastAsia="仿宋_GB2312" w:cs="仿宋_GB2312"/>
                <w:color w:val="000000"/>
                <w:sz w:val="24"/>
              </w:rPr>
              <w:t>履约保证金</w:t>
            </w:r>
          </w:p>
        </w:tc>
        <w:tc>
          <w:tcPr>
            <w:tcW w:w="6945" w:type="dxa"/>
            <w:vAlign w:val="center"/>
          </w:tcPr>
          <w:p>
            <w:pPr>
              <w:spacing w:line="360" w:lineRule="exact"/>
              <w:jc w:val="left"/>
              <w:rPr>
                <w:rFonts w:ascii="仿宋_GB2312" w:hAnsi="宋体" w:eastAsia="仿宋_GB2312" w:cs="仿宋_GB2312"/>
                <w:color w:val="000000"/>
                <w:sz w:val="24"/>
              </w:rPr>
            </w:pPr>
            <w:r>
              <w:rPr>
                <w:rFonts w:hint="eastAsia" w:ascii="仿宋_GB2312" w:hAnsi="宋体" w:eastAsia="仿宋_GB2312" w:cs="仿宋_GB2312"/>
                <w:color w:val="000000"/>
                <w:sz w:val="24"/>
              </w:rPr>
              <w:t>本项目履约保证金为人民币3万元整，中标人将履约保证金，存到采购人的指定账户,在合同履约到期且无异议情况下 30 日内无息退还。</w:t>
            </w:r>
          </w:p>
        </w:tc>
      </w:tr>
    </w:tbl>
    <w:p>
      <w:pPr>
        <w:rPr>
          <w:kern w:val="0"/>
          <w:szCs w:val="36"/>
        </w:rPr>
      </w:pPr>
    </w:p>
    <w:p>
      <w:pPr>
        <w:rPr>
          <w:kern w:val="0"/>
          <w:szCs w:val="36"/>
        </w:rPr>
      </w:pPr>
    </w:p>
    <w:p>
      <w:pPr>
        <w:rPr>
          <w:kern w:val="0"/>
          <w:szCs w:val="36"/>
        </w:rPr>
      </w:pPr>
    </w:p>
    <w:p>
      <w:pPr>
        <w:rPr>
          <w:kern w:val="0"/>
          <w:szCs w:val="36"/>
        </w:rPr>
      </w:pPr>
    </w:p>
    <w:p>
      <w:pPr>
        <w:rPr>
          <w:kern w:val="0"/>
          <w:szCs w:val="36"/>
        </w:rPr>
      </w:pPr>
    </w:p>
    <w:p>
      <w:pPr>
        <w:rPr>
          <w:kern w:val="0"/>
          <w:szCs w:val="36"/>
        </w:rPr>
      </w:pPr>
    </w:p>
    <w:p>
      <w:pPr>
        <w:rPr>
          <w:kern w:val="0"/>
          <w:szCs w:val="36"/>
        </w:rPr>
      </w:pPr>
    </w:p>
    <w:p>
      <w:pPr>
        <w:rPr>
          <w:kern w:val="0"/>
          <w:szCs w:val="36"/>
        </w:rPr>
      </w:pPr>
    </w:p>
    <w:p>
      <w:pPr>
        <w:rPr>
          <w:kern w:val="0"/>
          <w:szCs w:val="36"/>
        </w:rPr>
      </w:pPr>
    </w:p>
    <w:p>
      <w:pPr>
        <w:rPr>
          <w:kern w:val="0"/>
          <w:szCs w:val="36"/>
        </w:rPr>
      </w:pPr>
    </w:p>
    <w:p>
      <w:pPr>
        <w:rPr>
          <w:kern w:val="0"/>
          <w:szCs w:val="36"/>
        </w:rPr>
      </w:pPr>
    </w:p>
    <w:p>
      <w:pPr>
        <w:rPr>
          <w:kern w:val="0"/>
          <w:szCs w:val="36"/>
        </w:rPr>
      </w:pPr>
    </w:p>
    <w:p>
      <w:pPr>
        <w:rPr>
          <w:kern w:val="0"/>
          <w:szCs w:val="36"/>
        </w:rPr>
      </w:pPr>
    </w:p>
    <w:p>
      <w:pPr>
        <w:rPr>
          <w:kern w:val="0"/>
          <w:szCs w:val="36"/>
        </w:rPr>
      </w:pPr>
    </w:p>
    <w:p/>
    <w:p>
      <w:pPr>
        <w:jc w:val="center"/>
        <w:rPr>
          <w:sz w:val="44"/>
          <w:szCs w:val="44"/>
        </w:rPr>
      </w:pPr>
      <w:r>
        <w:rPr>
          <w:rFonts w:hint="eastAsia"/>
          <w:sz w:val="44"/>
          <w:szCs w:val="44"/>
        </w:rPr>
        <w:t>一  总  则</w:t>
      </w:r>
    </w:p>
    <w:p/>
    <w:p>
      <w:r>
        <w:rPr>
          <w:rFonts w:hint="eastAsia"/>
        </w:rPr>
        <w:t>1、适用范围</w:t>
      </w:r>
    </w:p>
    <w:p>
      <w:r>
        <w:rPr>
          <w:rFonts w:hint="eastAsia"/>
        </w:rPr>
        <w:t>本招标文件仅适用于本次招标采购所叙述的服务。</w:t>
      </w:r>
    </w:p>
    <w:p>
      <w:r>
        <w:rPr>
          <w:rFonts w:hint="eastAsia"/>
        </w:rPr>
        <w:t>2、定义</w:t>
      </w:r>
    </w:p>
    <w:p>
      <w:r>
        <w:rPr>
          <w:rFonts w:hint="eastAsia"/>
        </w:rPr>
        <w:t>2.1 “采购人”系指台州市中医院。</w:t>
      </w:r>
    </w:p>
    <w:p>
      <w:r>
        <w:rPr>
          <w:rFonts w:hint="eastAsia"/>
        </w:rPr>
        <w:t>2.</w:t>
      </w:r>
      <w:r>
        <w:t>2</w:t>
      </w:r>
      <w:r>
        <w:rPr>
          <w:rFonts w:hint="eastAsia"/>
        </w:rPr>
        <w:t xml:space="preserve"> “投标人”系指提交投标文件的供应商。</w:t>
      </w:r>
    </w:p>
    <w:p>
      <w:r>
        <w:rPr>
          <w:rFonts w:hint="eastAsia"/>
        </w:rPr>
        <w:t>2.</w:t>
      </w:r>
      <w:r>
        <w:t>3</w:t>
      </w:r>
      <w:r>
        <w:rPr>
          <w:rFonts w:hint="eastAsia"/>
        </w:rPr>
        <w:t xml:space="preserve"> “中标人”系指在本次招标采购中中标的投标人。</w:t>
      </w:r>
    </w:p>
    <w:p>
      <w:r>
        <w:rPr>
          <w:rFonts w:hint="eastAsia"/>
        </w:rPr>
        <w:t>3、合格的投标人</w:t>
      </w:r>
    </w:p>
    <w:p>
      <w:r>
        <w:rPr>
          <w:rFonts w:hint="eastAsia"/>
        </w:rPr>
        <w:t>3.1 符合《中华人民共和国政府采购法》第二十二条规定条件；</w:t>
      </w:r>
    </w:p>
    <w:p>
      <w:r>
        <w:rPr>
          <w:rFonts w:hint="eastAsia"/>
        </w:rPr>
        <w:t>3.2 符合招标公告要求的供应商。</w:t>
      </w:r>
    </w:p>
    <w:p>
      <w:r>
        <w:rPr>
          <w:rFonts w:hint="eastAsia"/>
        </w:rPr>
        <w:t>3.3 投标人在投标过程中提供虚假材料谋取中标或与其他投标人恶意串通，一经发现，将取消其中标资格，并按有关规定予以处理。</w:t>
      </w:r>
    </w:p>
    <w:p>
      <w:r>
        <w:rPr>
          <w:rFonts w:hint="eastAsia"/>
        </w:rPr>
        <w:t>4、投标费用</w:t>
      </w:r>
    </w:p>
    <w:p>
      <w:r>
        <w:rPr>
          <w:rFonts w:hint="eastAsia"/>
        </w:rPr>
        <w:t>4.1 无论本次采购的投标过程和结果如何，投标人自行承担与本次投标有关的全部费用。</w:t>
      </w:r>
    </w:p>
    <w:p/>
    <w:p>
      <w:r>
        <w:rPr>
          <w:rFonts w:hint="eastAsia"/>
        </w:rPr>
        <w:t>二  招标文件</w:t>
      </w:r>
    </w:p>
    <w:p>
      <w:r>
        <w:rPr>
          <w:rFonts w:hint="eastAsia"/>
        </w:rPr>
        <w:t>5、招标文件的组成</w:t>
      </w:r>
    </w:p>
    <w:p>
      <w:r>
        <w:rPr>
          <w:rFonts w:hint="eastAsia"/>
        </w:rPr>
        <w:t>5.1 本招标文件包括以下内容：</w:t>
      </w:r>
    </w:p>
    <w:p>
      <w:r>
        <w:rPr>
          <w:rFonts w:hint="eastAsia"/>
        </w:rPr>
        <w:t>（1）招标公告</w:t>
      </w:r>
    </w:p>
    <w:p>
      <w:r>
        <w:rPr>
          <w:rFonts w:hint="eastAsia"/>
        </w:rPr>
        <w:t>（2）投标人须知</w:t>
      </w:r>
    </w:p>
    <w:p>
      <w:r>
        <w:rPr>
          <w:rFonts w:hint="eastAsia"/>
        </w:rPr>
        <w:t>（3）采购需求</w:t>
      </w:r>
    </w:p>
    <w:p>
      <w:r>
        <w:rPr>
          <w:rFonts w:hint="eastAsia"/>
        </w:rPr>
        <w:t>（4）合同文本</w:t>
      </w:r>
    </w:p>
    <w:p>
      <w:r>
        <w:rPr>
          <w:rFonts w:hint="eastAsia"/>
        </w:rPr>
        <w:t>（5）评标标准和方法</w:t>
      </w:r>
    </w:p>
    <w:p>
      <w:r>
        <w:rPr>
          <w:rFonts w:hint="eastAsia"/>
        </w:rPr>
        <w:t>（6）投标文件格式</w:t>
      </w:r>
    </w:p>
    <w:p>
      <w:r>
        <w:rPr>
          <w:rFonts w:hint="eastAsia"/>
        </w:rPr>
        <w:t>除本须知第5条内容外，按本须知第6、7条发出的对招标文件澄清或修改内容，均为本招标文件的组成部分，对采购人和投标人起约束作用。</w:t>
      </w:r>
    </w:p>
    <w:p>
      <w:r>
        <w:rPr>
          <w:rFonts w:hint="eastAsia"/>
        </w:rPr>
        <w:t>6、招标文件的澄清</w:t>
      </w:r>
    </w:p>
    <w:p>
      <w:r>
        <w:rPr>
          <w:rFonts w:hint="eastAsia"/>
        </w:rPr>
        <w:t>6.1投标人应仔细阅读和检查招标文件的全部内容。如发现缺页或附件不全、招标文件中存在含糊不清、自相矛盾、多种含义等问题的，应及时向采购人提出，以便补齐。如有疑问，应以书面形式要求采购人对招标文件予以澄清。</w:t>
      </w:r>
    </w:p>
    <w:p>
      <w:r>
        <w:rPr>
          <w:rFonts w:hint="eastAsia"/>
        </w:rPr>
        <w:t>6.2 招标文件的澄清将以书面形式发给所有已报名的投标人，但不指明澄清问题的来源。如澄清内容影响投标文件编制的，将相应延长投标截止时间。</w:t>
      </w:r>
    </w:p>
    <w:p>
      <w:r>
        <w:rPr>
          <w:rFonts w:hint="eastAsia"/>
        </w:rPr>
        <w:t>6.3 投标人在收到澄清文件后，应在接到澄清文件后一天内以书面形式通知采购人，确认已收到该澄清文件，未以书面形式确认的，则视为已收到该澄清文件并明知其内容。</w:t>
      </w:r>
    </w:p>
    <w:p>
      <w:r>
        <w:rPr>
          <w:rFonts w:hint="eastAsia"/>
        </w:rPr>
        <w:t>7、招标文件的修改</w:t>
      </w:r>
    </w:p>
    <w:p>
      <w:r>
        <w:rPr>
          <w:rFonts w:hint="eastAsia"/>
        </w:rPr>
        <w:t>7.1 采购人可以书面形式修改招标文件，并通知所有已报名的投标人。修改招标文件的时间距投标人须知前附表规定的投标截止时间不足 15 天的，并且澄清内容影响投标文件编制的，将相应延长投标截止时间。</w:t>
      </w:r>
    </w:p>
    <w:p>
      <w:r>
        <w:rPr>
          <w:rFonts w:hint="eastAsia"/>
        </w:rPr>
        <w:t>7.2 投标人收到修改文件后，应在接到修改文件后一天内以书面形式通知采购人，确认已收到该修改文件，未以书面形式确认的，则视为已收到该修改文件并明知其内容。</w:t>
      </w:r>
    </w:p>
    <w:p/>
    <w:p>
      <w:r>
        <w:rPr>
          <w:rFonts w:hint="eastAsia"/>
        </w:rPr>
        <w:t>三  投标文件</w:t>
      </w:r>
    </w:p>
    <w:p>
      <w:r>
        <w:rPr>
          <w:rFonts w:hint="eastAsia"/>
        </w:rPr>
        <w:t>8、投标文件的语言和计量单位</w:t>
      </w:r>
    </w:p>
    <w:p>
      <w:r>
        <w:rPr>
          <w:rFonts w:hint="eastAsia"/>
        </w:rPr>
        <w:t>8.1投标人提交的投标文件及投标人与采购人就有关投标的所有来往函电均应使用中文。专用术语使用外文的，应附有中文注释。</w:t>
      </w:r>
    </w:p>
    <w:p>
      <w:r>
        <w:rPr>
          <w:rFonts w:hint="eastAsia"/>
        </w:rPr>
        <w:t>8.2 所有计量均采用中华人民共和国法定计量单位。</w:t>
      </w:r>
    </w:p>
    <w:p>
      <w:r>
        <w:rPr>
          <w:rFonts w:hint="eastAsia"/>
        </w:rPr>
        <w:t>9、投标文件的组成</w:t>
      </w:r>
    </w:p>
    <w:p>
      <w:r>
        <w:rPr>
          <w:rFonts w:hint="eastAsia"/>
        </w:rPr>
        <w:t>投标文件包括资信技术文件、商务报价文件及原件资料等组成。</w:t>
      </w:r>
    </w:p>
    <w:p>
      <w:r>
        <w:rPr>
          <w:rFonts w:hint="eastAsia"/>
        </w:rPr>
        <w:t>9.1 资信技术文件包括：</w:t>
      </w:r>
    </w:p>
    <w:p>
      <w:r>
        <w:rPr>
          <w:rFonts w:hint="eastAsia"/>
        </w:rPr>
        <w:t>（1）台州市政府采购诚信竞投承诺书（格式附后）；</w:t>
      </w:r>
    </w:p>
    <w:p>
      <w:r>
        <w:rPr>
          <w:rFonts w:hint="eastAsia"/>
        </w:rPr>
        <w:t>（2）法定代表人身份证明书（格式附后）；</w:t>
      </w:r>
    </w:p>
    <w:p>
      <w:r>
        <w:rPr>
          <w:rFonts w:hint="eastAsia"/>
        </w:rPr>
        <w:t>（3）授权委托书（如授权委托代理人的则需提供该项，格式附后）；</w:t>
      </w:r>
    </w:p>
    <w:p>
      <w:r>
        <w:rPr>
          <w:rFonts w:hint="eastAsia"/>
        </w:rPr>
        <w:t>（4）投标人营业执照复印件，财务状况报告，依法缴纳税收和社会保障资金的相关材料；</w:t>
      </w:r>
    </w:p>
    <w:p>
      <w:r>
        <w:rPr>
          <w:rFonts w:hint="eastAsia"/>
        </w:rPr>
        <w:t>（5）后勤服务管理运作流程设计和工作组织实施方案、服务总体模式与项目具体工作需求分析、投入设备、设施配置的情况、人员培训、质量控制及支持方案、人员配置合理性、交接过渡工作方案、防止交叉感染方案、服务保障及突发事件的应急措施、优惠承诺等详细描述（根据评分项所涉及的内容编制）；</w:t>
      </w:r>
    </w:p>
    <w:p>
      <w:r>
        <w:rPr>
          <w:rFonts w:hint="eastAsia"/>
        </w:rPr>
        <w:t>（6）符合评分要求的类似业绩合同、获奖情况、认证证书、企业资信证书等复印件（根据评分项所涉及的内容编制）；</w:t>
      </w:r>
    </w:p>
    <w:p>
      <w:r>
        <w:rPr>
          <w:rFonts w:hint="eastAsia"/>
        </w:rPr>
        <w:t>（7）技术、商务偏离表（格式附后）；</w:t>
      </w:r>
    </w:p>
    <w:p>
      <w:r>
        <w:rPr>
          <w:rFonts w:hint="eastAsia"/>
        </w:rPr>
        <w:t>（8）投标人认为需要提供的其它文件和资料(评分项涉及的所有资料和证明文件）。</w:t>
      </w:r>
    </w:p>
    <w:p>
      <w:r>
        <w:rPr>
          <w:rFonts w:hint="eastAsia"/>
        </w:rPr>
        <w:t>9.2 商务投标文件包括：</w:t>
      </w:r>
    </w:p>
    <w:p>
      <w:r>
        <w:rPr>
          <w:rFonts w:hint="eastAsia"/>
        </w:rPr>
        <w:t>（1）投标函（格式附后）；</w:t>
      </w:r>
    </w:p>
    <w:p>
      <w:r>
        <w:rPr>
          <w:rFonts w:hint="eastAsia"/>
        </w:rPr>
        <w:t>（2）开标一览表（格式附后）；</w:t>
      </w:r>
    </w:p>
    <w:p>
      <w:r>
        <w:rPr>
          <w:rFonts w:hint="eastAsia"/>
        </w:rPr>
        <w:t>（3）产品适用政府采购政策情况表（格式附后）（非小微、非监狱、非残疾人福利性单位无需提供该项）；</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（4）投标人参与小微企业评审的，则商务报价文件中需提供如下资料：</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① 投标人《小微企业声明函》（格式附后）及投标人的小微企业证明（企业所在地中小企业局等政府主管部门开具的小微企业证明）；</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② 若投标人提供的产品或服务来自其他企业，则还需出具投标产品制造商的《小微企业声明函》（格式附后）及投标产品制造商的小微企业证明（企业所在地中小企业局等政府主管部门开具的小微企业证明）；</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根据《财政部司法部关于政府采购支持监狱企业发展有关问题的通知》（财库【2014】68号）的规定,提供省级以上监狱管理局、戒毒管理局（含新疆生产建设兵团）开具的属于监狱企业的证明文件（非监狱企业投标的无需提供该项）；</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（6）《关于促进残疾人就业政府采购政策的通知》（财库【2017】141号）的规定的相关残疾人福利性单位的所有证明文件（非残疾人福利性单位投标的无需提供该项）；</w:t>
      </w:r>
    </w:p>
    <w:p>
      <w:r>
        <w:rPr>
          <w:rFonts w:hint="eastAsia"/>
        </w:rPr>
        <w:t>（7）投标人认为需要提供的其它文件和资料。</w:t>
      </w:r>
    </w:p>
    <w:p>
      <w:r>
        <w:rPr>
          <w:rFonts w:hint="eastAsia"/>
        </w:rPr>
        <w:t>备注：未提供上述完整证明材料的，投标报价不予扣减。</w:t>
      </w:r>
    </w:p>
    <w:p>
      <w:r>
        <w:rPr>
          <w:rFonts w:hint="eastAsia"/>
        </w:rPr>
        <w:t>9.3 原件资料包括：</w:t>
      </w:r>
    </w:p>
    <w:p>
      <w:r>
        <w:rPr>
          <w:rFonts w:hint="eastAsia"/>
        </w:rPr>
        <w:t>（1）投标人认为评分需要提供的其它文件和资料（评分项涉及的所有资料、证书和证明文件）。</w:t>
      </w:r>
    </w:p>
    <w:p>
      <w:r>
        <w:rPr>
          <w:rFonts w:hint="eastAsia"/>
        </w:rPr>
        <w:t>10、投标报价</w:t>
      </w:r>
    </w:p>
    <w:p>
      <w:r>
        <w:rPr>
          <w:rFonts w:hint="eastAsia"/>
        </w:rPr>
        <w:t>10.1 投标报价应按招标文件中相关附表格式填写。</w:t>
      </w:r>
    </w:p>
    <w:p>
      <w:r>
        <w:rPr>
          <w:rFonts w:hint="eastAsia"/>
        </w:rPr>
        <w:t>10.2 投标报价是履行合同的最终价格，为完成本招标文件中提出的所有采购内容并完成合同约定的相应服务应支付的各项金额总和，包括利润、税金等相关服务的所有费用。凡投标人在报价中未列明但又为本次采购所必备的项目或遗漏项目，采购人将一律视为已包括在其报价中，在合同执行中将不予考虑。</w:t>
      </w:r>
    </w:p>
    <w:p>
      <w:r>
        <w:rPr>
          <w:rFonts w:hint="eastAsia"/>
        </w:rPr>
        <w:t>10.3 投标文件只允许有一个报价，有选择的或有条件的报价将不予接受。</w:t>
      </w:r>
    </w:p>
    <w:p>
      <w:r>
        <w:rPr>
          <w:rFonts w:hint="eastAsia"/>
        </w:rPr>
        <w:t>11、投标文件的有效期</w:t>
      </w:r>
    </w:p>
    <w:p>
      <w:r>
        <w:rPr>
          <w:rFonts w:hint="eastAsia"/>
        </w:rPr>
        <w:t>11.1 自投标截止日起90天投标文件应保持有效。有效期不足的投标文件将被拒绝。</w:t>
      </w:r>
    </w:p>
    <w:p>
      <w:r>
        <w:rPr>
          <w:rFonts w:hint="eastAsia"/>
        </w:rPr>
        <w:t>11.2 在特殊情况下，采购人可与投标人协商延长投标书的有效期，这种要求和答复均以书面形式进行。</w:t>
      </w:r>
    </w:p>
    <w:p>
      <w:r>
        <w:rPr>
          <w:rFonts w:hint="eastAsia"/>
        </w:rPr>
        <w:t>11.3 中标人的投标文件自开标之日起至合同履行完毕止均应保持有效。</w:t>
      </w:r>
    </w:p>
    <w:p>
      <w:r>
        <w:rPr>
          <w:rFonts w:hint="eastAsia"/>
        </w:rPr>
        <w:t>12、投标文件的编制</w:t>
      </w:r>
    </w:p>
    <w:p>
      <w:r>
        <w:rPr>
          <w:rFonts w:hint="eastAsia"/>
        </w:rPr>
        <w:t>12.1 投标文件应按本须知第9条规定及第六章“投标文件格式”进行编制。</w:t>
      </w:r>
    </w:p>
    <w:p>
      <w:r>
        <w:rPr>
          <w:rFonts w:hint="eastAsia"/>
        </w:rPr>
        <w:t>12.2 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委托代理人签字确认。</w:t>
      </w:r>
    </w:p>
    <w:p>
      <w:r>
        <w:rPr>
          <w:rFonts w:hint="eastAsia"/>
        </w:rPr>
        <w:t>12.3 投标人应按本须知前附表第 4 项规定，编制相应份数的投标文件。</w:t>
      </w:r>
    </w:p>
    <w:p>
      <w:r>
        <w:rPr>
          <w:rFonts w:hint="eastAsia"/>
        </w:rPr>
        <w:t>12.4 投标文件正、副本份数见投标人须知前附表。正本和副本的封面上应清楚地标记“正本”或“副本”的字样。当副本和正本不一致时，以正本为准。</w:t>
      </w:r>
    </w:p>
    <w:p>
      <w:r>
        <w:rPr>
          <w:rFonts w:hint="eastAsia"/>
        </w:rPr>
        <w:t>12.5 投标文件的正本与副本应分别装订成册，并编制目录。</w:t>
      </w:r>
    </w:p>
    <w:p/>
    <w:p>
      <w:r>
        <w:rPr>
          <w:rFonts w:hint="eastAsia"/>
        </w:rPr>
        <w:t>四  投标</w:t>
      </w:r>
    </w:p>
    <w:p>
      <w:r>
        <w:rPr>
          <w:rFonts w:hint="eastAsia"/>
        </w:rPr>
        <w:t>13、投标文件的包装密封、标识</w:t>
      </w:r>
    </w:p>
    <w:p>
      <w:r>
        <w:rPr>
          <w:rFonts w:hint="eastAsia"/>
        </w:rPr>
        <w:t>13.1 商务报价文件应装订成册，装入一个密封袋里，并在外包装上准确标明“商务报价文件”、“项目名称”和“投标人名称”。</w:t>
      </w:r>
    </w:p>
    <w:p>
      <w:r>
        <w:rPr>
          <w:rFonts w:hint="eastAsia"/>
        </w:rPr>
        <w:t>13.2 资信技术文件应装订成册，装入一个密封袋里，并在外包装上准确标明“资信技术文件”、“项目名称”和“投标人名称”。</w:t>
      </w:r>
    </w:p>
    <w:p>
      <w:r>
        <w:rPr>
          <w:rFonts w:hint="eastAsia"/>
        </w:rPr>
        <w:t>未按上述规定进行密封和标识的投标文件，采购人将不予受理。</w:t>
      </w:r>
    </w:p>
    <w:p>
      <w:r>
        <w:rPr>
          <w:rFonts w:hint="eastAsia"/>
        </w:rPr>
        <w:t>14、投标文件的递交</w:t>
      </w:r>
    </w:p>
    <w:p>
      <w:r>
        <w:rPr>
          <w:rFonts w:hint="eastAsia"/>
        </w:rPr>
        <w:t>14.1 投标人的投标文件在招标文件规定的投标截止时间前以直接提交形式提交至招标文件规定的地点，投标人的法定代表人（或委托代理人）必须参加开标会议，并带身份证原件，提交投标文件时投标人代表应签名报到，未携带身份证原件的，采购人将不予受理其投标文件。</w:t>
      </w:r>
    </w:p>
    <w:p>
      <w:r>
        <w:rPr>
          <w:rFonts w:hint="eastAsia"/>
        </w:rPr>
        <w:t>14.2 投标人递交投标文件的地点：见投标人须知前附表。</w:t>
      </w:r>
    </w:p>
    <w:p>
      <w:r>
        <w:rPr>
          <w:rFonts w:hint="eastAsia"/>
        </w:rPr>
        <w:t>14.3 除投标人须知前附表另有规定外，投标人所递交的投标文件不予退还。</w:t>
      </w:r>
    </w:p>
    <w:p>
      <w:r>
        <w:rPr>
          <w:rFonts w:hint="eastAsia"/>
        </w:rPr>
        <w:t>14.4 逾期送达的或者未送达指定地点的投标文件，采购人不予受理。</w:t>
      </w:r>
    </w:p>
    <w:p>
      <w:r>
        <w:rPr>
          <w:rFonts w:hint="eastAsia"/>
        </w:rPr>
        <w:t>15、投标文件的修改与撤回</w:t>
      </w:r>
    </w:p>
    <w:p>
      <w:r>
        <w:rPr>
          <w:rFonts w:hint="eastAsia"/>
        </w:rPr>
        <w:t>15.1 在投标人须知前附表第6项规定的投标截止时间前，投标人可以修改或撤回已提交的投标文件，但应以书面形式通知采购人。</w:t>
      </w:r>
    </w:p>
    <w:p>
      <w:r>
        <w:rPr>
          <w:rFonts w:hint="eastAsia"/>
        </w:rPr>
        <w:t>15.2 投标人修改或撤回已提交投标文件的书面通知应由投标人的法定代表人（或其委托代理人）签字或盖投标人公章。采购人收到书面通知后，向投标人出具签收凭证。</w:t>
      </w:r>
    </w:p>
    <w:p>
      <w:r>
        <w:rPr>
          <w:rFonts w:hint="eastAsia"/>
        </w:rPr>
        <w:t>15.3 修改的内容为投标文件的组成部分。修改的投标文件应由投标人的法定代表人（或其委托代理人）签字或盖投标人公章，并按照本须知第14、15条规定进行密封、标识和提交，并标明“修改”字样。</w:t>
      </w:r>
    </w:p>
    <w:p/>
    <w:p>
      <w:r>
        <w:rPr>
          <w:rFonts w:hint="eastAsia"/>
        </w:rPr>
        <w:t>五  开标</w:t>
      </w:r>
    </w:p>
    <w:p>
      <w:r>
        <w:rPr>
          <w:rFonts w:hint="eastAsia"/>
        </w:rPr>
        <w:t>16、开标</w:t>
      </w:r>
    </w:p>
    <w:p>
      <w:r>
        <w:rPr>
          <w:rFonts w:hint="eastAsia"/>
        </w:rPr>
        <w:t>16.1 采购人将于投标人须知前附表第 7 项规定的时间和地点举行开标会议。投标人的法定代表人或其委托代理人应参加开标会并签到。投标人的法定代表人或其委托代理人未按时签到的，视同放弃开标监督权利、认可开标结果。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16.2 开标程序</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（1）开标会由采购人工作人员主持，主持人宣布开标会议开始；</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（2）介绍参加开标会的人员名单；</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（3）宣布评标期间的有关事项；告知应当回避的情形,提请有关人员回避；</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（4）投标人对资信技术文件相关内容进行介绍、讲解和答疑的合并阐述，对于关键问题需要口头澄清或说明。</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（5）宣读投标文件中的投标人名称及在其投标文件中承诺的投标报价、投标内容，以及采购人认为有必要宣读的其他内容。</w:t>
      </w:r>
    </w:p>
    <w:p>
      <w:pPr>
        <w:rPr>
          <w:rStyle w:val="10"/>
          <w:color w:val="000000" w:themeColor="text1"/>
          <w14:textFill>
            <w14:solidFill>
              <w14:schemeClr w14:val="tx1"/>
            </w14:solidFill>
          </w14:textFill>
        </w:rPr>
      </w:pPr>
      <w:r>
        <w:rPr>
          <w:rFonts w:hint="eastAsia"/>
          <w:color w:val="000000" w:themeColor="text1"/>
          <w14:textFill>
            <w14:solidFill>
              <w14:schemeClr w14:val="tx1"/>
            </w14:solidFill>
          </w14:textFill>
        </w:rPr>
        <w:t>（6）招标小组结合本院实际情况，进行讨论，形成初步意见，提交院长办公会议讨论，确定第一中标候选单位，作为优先遴选对象。</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（7）采购人做开标记录, 投标人代表对开标记录进行当场校核及勘误，并签字确认；同时由记录人、监督人当场签字确认。</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（8）开标会议结束。</w:t>
      </w:r>
    </w:p>
    <w:p>
      <w:pPr>
        <w:rPr>
          <w:color w:val="000000" w:themeColor="text1"/>
          <w14:textFill>
            <w14:solidFill>
              <w14:schemeClr w14:val="tx1"/>
            </w14:solidFill>
          </w14:textFill>
        </w:rPr>
      </w:pPr>
    </w:p>
    <w:p>
      <w:r>
        <w:rPr>
          <w:rFonts w:hint="eastAsia"/>
        </w:rPr>
        <w:t>六  评标</w:t>
      </w:r>
    </w:p>
    <w:p>
      <w:r>
        <w:rPr>
          <w:rFonts w:hint="eastAsia"/>
        </w:rPr>
        <w:t>17、评标委员会</w:t>
      </w:r>
    </w:p>
    <w:p>
      <w:r>
        <w:rPr>
          <w:rFonts w:hint="eastAsia"/>
        </w:rPr>
        <w:t>17.1 评标由采购人依法组建的评标委员会负责。</w:t>
      </w:r>
    </w:p>
    <w:p>
      <w:r>
        <w:rPr>
          <w:rFonts w:hint="eastAsia"/>
        </w:rPr>
        <w:t>18、评标</w:t>
      </w:r>
    </w:p>
    <w:p>
      <w:r>
        <w:rPr>
          <w:rFonts w:hint="eastAsia"/>
        </w:rPr>
        <w:t>18.1 评标委员会按照第五章“评标标准和方法”规定的方法、评审因素、标准和程序对投标文件进行评审。第五章“评标标准和方法”没有规定的方法、评审因素和标准，不作为评标依据。</w:t>
      </w:r>
    </w:p>
    <w:p/>
    <w:p>
      <w:r>
        <w:rPr>
          <w:rFonts w:hint="eastAsia"/>
        </w:rPr>
        <w:t>七  合同授予</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19、定标</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19.1 确定中标人。本项目由采购人（或采购人事先授权评标委员会）根据院内决标流程确定中标人。</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19.2 采购人评审报告推荐的中标或者成交候选人中按顺序确定中标或者成交供应商。</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19.</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 xml:space="preserve"> 采购人应当自中标、成交供应商确定之日起 2 个工作日内，发出中标、成交通知书，并在医院官方的网站上公告中标、成交结果。</w:t>
      </w:r>
    </w:p>
    <w:p>
      <w:r>
        <w:rPr>
          <w:rFonts w:hint="eastAsia"/>
        </w:rPr>
        <w:t>20、签订合同</w:t>
      </w:r>
    </w:p>
    <w:p>
      <w:r>
        <w:rPr>
          <w:rFonts w:hint="eastAsia"/>
        </w:rPr>
        <w:t>20.1.采购人与中标人应当在《中标通知书》发出之日起 30 日内签订政府采购合同。如发现与采购结果和投标承诺内容不一致的，应予以纠正。</w:t>
      </w:r>
    </w:p>
    <w:p>
      <w:r>
        <w:rPr>
          <w:rFonts w:hint="eastAsia"/>
        </w:rPr>
        <w:t>20.2 中标人拖延、拒签合同的,将被取消中标资格。</w:t>
      </w:r>
    </w:p>
    <w:p>
      <w:r>
        <w:rPr>
          <w:rFonts w:hint="eastAsia"/>
        </w:rPr>
        <w:t>21、履约保证金</w:t>
      </w:r>
    </w:p>
    <w:p>
      <w:r>
        <w:rPr>
          <w:rFonts w:hint="eastAsia"/>
        </w:rPr>
        <w:t>21.1 中标人应按投标人须知前附表规定的金额、形式向采购人提交履约保证金。</w:t>
      </w:r>
    </w:p>
    <w:p>
      <w:r>
        <w:rPr>
          <w:rFonts w:hint="eastAsia"/>
        </w:rPr>
        <w:t>21.2 中标人不能按投标人须知前附表要求提交履约保证金的，视为放弃中标。</w:t>
      </w:r>
    </w:p>
    <w:p>
      <w:r>
        <w:rPr>
          <w:rFonts w:hint="eastAsia"/>
        </w:rPr>
        <w:t>21.3 签订合同后，如中标人不按双方合同约定履约，则没收其全部履约保证金，履约保证金不足以赔偿损失的，按实际损失赔偿。</w:t>
      </w:r>
    </w:p>
    <w:p/>
    <w:p>
      <w:r>
        <w:rPr>
          <w:rFonts w:hint="eastAsia"/>
        </w:rPr>
        <w:t>八  其他</w:t>
      </w:r>
    </w:p>
    <w:p>
      <w:r>
        <w:rPr>
          <w:rFonts w:hint="eastAsia"/>
        </w:rPr>
        <w:t>22、废标</w:t>
      </w:r>
    </w:p>
    <w:p>
      <w:r>
        <w:rPr>
          <w:rFonts w:hint="eastAsia"/>
        </w:rPr>
        <w:t>22.1 发生下列情况之一的予以废标：</w:t>
      </w:r>
    </w:p>
    <w:p>
      <w:r>
        <w:rPr>
          <w:rFonts w:hint="eastAsia"/>
        </w:rPr>
        <w:t>（1）符合专业条件的供应商或者对招标文件作实质响应的供应商不足三家的；</w:t>
      </w:r>
    </w:p>
    <w:p>
      <w:r>
        <w:rPr>
          <w:rFonts w:hint="eastAsia"/>
        </w:rPr>
        <w:t>（2）出现影响采购公正的违法、违规行为的；</w:t>
      </w:r>
    </w:p>
    <w:p>
      <w:r>
        <w:rPr>
          <w:rFonts w:hint="eastAsia"/>
        </w:rPr>
        <w:t>（3）投标人的报价均超过了采购预算，采购人不能支付的；</w:t>
      </w:r>
    </w:p>
    <w:p>
      <w:r>
        <w:rPr>
          <w:rFonts w:hint="eastAsia"/>
        </w:rPr>
        <w:t>（4）因重大变故，采购任务取消的。</w:t>
      </w:r>
    </w:p>
    <w:p>
      <w:r>
        <w:rPr>
          <w:rFonts w:hint="eastAsia"/>
        </w:rPr>
        <w:t>23、质疑和投诉</w:t>
      </w:r>
    </w:p>
    <w:p>
      <w:pPr>
        <w:rPr>
          <w:color w:val="000000" w:themeColor="text1"/>
          <w14:textFill>
            <w14:solidFill>
              <w14:schemeClr w14:val="tx1"/>
            </w14:solidFill>
          </w14:textFill>
        </w:rPr>
      </w:pPr>
      <w:r>
        <w:rPr>
          <w:rFonts w:hint="eastAsia"/>
        </w:rPr>
        <w:t xml:space="preserve">23.1 </w:t>
      </w:r>
      <w:r>
        <w:rPr>
          <w:rFonts w:hint="eastAsia"/>
          <w:color w:val="000000" w:themeColor="text1"/>
          <w14:textFill>
            <w14:solidFill>
              <w14:schemeClr w14:val="tx1"/>
            </w14:solidFill>
          </w14:textFill>
        </w:rPr>
        <w:t>投标人对本次招标相关事项有疑问的，可以向采购对接部门提出询问。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23.2 若投标人认为其合法权益受到损害，可以在知道或者应当知道其权益受到损害之日起 7 个工作日内，以书面形式向采购人纪检监察</w:t>
      </w:r>
      <w:r>
        <w:rPr>
          <w:color w:val="000000" w:themeColor="text1"/>
          <w14:textFill>
            <w14:solidFill>
              <w14:schemeClr w14:val="tx1"/>
            </w14:solidFill>
          </w14:textFill>
        </w:rPr>
        <w:t>室</w:t>
      </w:r>
      <w:r>
        <w:rPr>
          <w:rFonts w:hint="eastAsia"/>
          <w:color w:val="000000" w:themeColor="text1"/>
          <w14:textFill>
            <w14:solidFill>
              <w14:schemeClr w14:val="tx1"/>
            </w14:solidFill>
          </w14:textFill>
        </w:rPr>
        <w:t>提出质疑并要求采购代理机构作出答复。</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23.3 采购人纪检监察</w:t>
      </w:r>
      <w:r>
        <w:rPr>
          <w:color w:val="000000" w:themeColor="text1"/>
          <w14:textFill>
            <w14:solidFill>
              <w14:schemeClr w14:val="tx1"/>
            </w14:solidFill>
          </w14:textFill>
        </w:rPr>
        <w:t>室</w:t>
      </w:r>
      <w:r>
        <w:rPr>
          <w:rFonts w:hint="eastAsia"/>
          <w:color w:val="000000" w:themeColor="text1"/>
          <w14:textFill>
            <w14:solidFill>
              <w14:schemeClr w14:val="tx1"/>
            </w14:solidFill>
          </w14:textFill>
        </w:rPr>
        <w:t>会在收到投标人的书面质疑后 7 个工作日内审查质疑事项，作出答复或相关处理决定，并以书面形式通知质疑投标人和其他相关投标人，但答复的内容涉及商业秘密的除外。</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23.4 质疑投标人对采购人纪检监察</w:t>
      </w:r>
      <w:r>
        <w:rPr>
          <w:color w:val="000000" w:themeColor="text1"/>
          <w14:textFill>
            <w14:solidFill>
              <w14:schemeClr w14:val="tx1"/>
            </w14:solidFill>
          </w14:textFill>
        </w:rPr>
        <w:t>室</w:t>
      </w:r>
      <w:r>
        <w:rPr>
          <w:rFonts w:hint="eastAsia"/>
          <w:color w:val="000000" w:themeColor="text1"/>
          <w14:textFill>
            <w14:solidFill>
              <w14:schemeClr w14:val="tx1"/>
            </w14:solidFill>
          </w14:textFill>
        </w:rPr>
        <w:t>的答复不满意或采购人纪检监察</w:t>
      </w:r>
      <w:r>
        <w:rPr>
          <w:color w:val="000000" w:themeColor="text1"/>
          <w14:textFill>
            <w14:solidFill>
              <w14:schemeClr w14:val="tx1"/>
            </w14:solidFill>
          </w14:textFill>
        </w:rPr>
        <w:t>室</w:t>
      </w:r>
      <w:r>
        <w:rPr>
          <w:rFonts w:hint="eastAsia"/>
          <w:color w:val="000000" w:themeColor="text1"/>
          <w14:textFill>
            <w14:solidFill>
              <w14:schemeClr w14:val="tx1"/>
            </w14:solidFill>
          </w14:textFill>
        </w:rPr>
        <w:t>未在规定的时间内做出答复的，可以在答复期满后 15 个工作日内向同级政府采购监督管理部门投诉。</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23.5 投标人在知道或者应当知道其权益受到损害之日是指：</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①报名截止日之后收到招标文件的，以报名截止日为准；且应当在采购响应截止时间之前提出，否则，被质疑人可不予接受；</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②对招标过程提出质疑的，为各招标程序环节结束之日；</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③对中标结果提出质疑，为中标结果公告期限届满之日。</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24、信用信息查询</w:t>
      </w:r>
    </w:p>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24.1 根据财库[2016]125 号《财政部关于在政府采购活动中查询及使用信用记录有 关 问 题 的 通 知 》的要求，将 对 本 次 投 标 供 应 商 通 过 “ 信 用 中 国 ” 网 站（www.creditchina.gov.cn）查询相关主体信用记录，查询截止时间为开标时间，供应商若被《信用中国》纳入“失信被执行人、企业经营异常名录、重大税收违法案件当事人名单、政府采购严重违法失信名单”的将作为无效投标处理。</w:t>
      </w:r>
    </w:p>
    <w:p>
      <w:pPr>
        <w:rPr>
          <w:color w:val="000000" w:themeColor="text1"/>
          <w:szCs w:val="21"/>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liMDA2ZDVmOThhMDQzYTUyNGZiMWYzMjVlYTkzYjMifQ=="/>
  </w:docVars>
  <w:rsids>
    <w:rsidRoot w:val="001F253D"/>
    <w:rsid w:val="001F253D"/>
    <w:rsid w:val="002F4C65"/>
    <w:rsid w:val="002F65B4"/>
    <w:rsid w:val="003E701E"/>
    <w:rsid w:val="00433E66"/>
    <w:rsid w:val="006E0A1A"/>
    <w:rsid w:val="00724462"/>
    <w:rsid w:val="00796742"/>
    <w:rsid w:val="007A3285"/>
    <w:rsid w:val="007C445F"/>
    <w:rsid w:val="008C0EB7"/>
    <w:rsid w:val="0090705A"/>
    <w:rsid w:val="00AA4840"/>
    <w:rsid w:val="00B97DCA"/>
    <w:rsid w:val="00BA0140"/>
    <w:rsid w:val="00CF013F"/>
    <w:rsid w:val="00DB3D35"/>
    <w:rsid w:val="00E46C20"/>
    <w:rsid w:val="00E93A2B"/>
    <w:rsid w:val="00ED726B"/>
    <w:rsid w:val="00F25B5A"/>
    <w:rsid w:val="0B7518AB"/>
    <w:rsid w:val="230E36EE"/>
    <w:rsid w:val="3877028D"/>
    <w:rsid w:val="4B823D03"/>
    <w:rsid w:val="5325327E"/>
    <w:rsid w:val="58313944"/>
    <w:rsid w:val="67AF5C4B"/>
    <w:rsid w:val="6D3E1497"/>
    <w:rsid w:val="6D806F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uiPriority w:val="99"/>
    <w:rPr>
      <w:sz w:val="18"/>
      <w:szCs w:val="18"/>
    </w:rPr>
  </w:style>
  <w:style w:type="paragraph" w:styleId="4">
    <w:name w:val="footer"/>
    <w:basedOn w:val="1"/>
    <w:link w:val="13"/>
    <w:unhideWhenUsed/>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hint="eastAsia" w:ascii="宋体" w:hAnsi="宋体" w:eastAsia="宋体" w:cs="Times New Roman"/>
      <w:kern w:val="0"/>
      <w:sz w:val="24"/>
      <w:szCs w:val="24"/>
    </w:rPr>
  </w:style>
  <w:style w:type="paragraph" w:styleId="7">
    <w:name w:val="annotation subject"/>
    <w:basedOn w:val="2"/>
    <w:next w:val="2"/>
    <w:link w:val="15"/>
    <w:semiHidden/>
    <w:unhideWhenUsed/>
    <w:uiPriority w:val="99"/>
    <w:rPr>
      <w:b/>
      <w:bCs/>
    </w:rPr>
  </w:style>
  <w:style w:type="character" w:styleId="10">
    <w:name w:val="annotation reference"/>
    <w:basedOn w:val="9"/>
    <w:semiHidden/>
    <w:unhideWhenUsed/>
    <w:qFormat/>
    <w:uiPriority w:val="99"/>
    <w:rPr>
      <w:sz w:val="21"/>
      <w:szCs w:val="21"/>
    </w:rPr>
  </w:style>
  <w:style w:type="paragraph" w:customStyle="1" w:styleId="11">
    <w:name w:val="hea"/>
    <w:basedOn w:val="1"/>
    <w:next w:val="1"/>
    <w:qFormat/>
    <w:uiPriority w:val="99"/>
    <w:pPr>
      <w:keepNext/>
      <w:keepLines/>
      <w:tabs>
        <w:tab w:val="left" w:pos="432"/>
      </w:tabs>
      <w:spacing w:before="340" w:after="330" w:line="578" w:lineRule="auto"/>
      <w:ind w:left="432" w:hanging="432"/>
      <w:outlineLvl w:val="0"/>
    </w:pPr>
    <w:rPr>
      <w:rFonts w:ascii="宋体" w:hAnsi="Times New Roman" w:eastAsia="宋体" w:cs="Times New Roman"/>
      <w:b/>
      <w:bCs/>
      <w:kern w:val="44"/>
      <w:sz w:val="44"/>
      <w:szCs w:val="44"/>
    </w:rPr>
  </w:style>
  <w:style w:type="character" w:customStyle="1" w:styleId="12">
    <w:name w:val="页眉 字符"/>
    <w:basedOn w:val="9"/>
    <w:link w:val="5"/>
    <w:qFormat/>
    <w:uiPriority w:val="99"/>
    <w:rPr>
      <w:kern w:val="2"/>
      <w:sz w:val="18"/>
      <w:szCs w:val="18"/>
    </w:rPr>
  </w:style>
  <w:style w:type="character" w:customStyle="1" w:styleId="13">
    <w:name w:val="页脚 字符"/>
    <w:basedOn w:val="9"/>
    <w:link w:val="4"/>
    <w:qFormat/>
    <w:uiPriority w:val="99"/>
    <w:rPr>
      <w:kern w:val="2"/>
      <w:sz w:val="18"/>
      <w:szCs w:val="18"/>
    </w:rPr>
  </w:style>
  <w:style w:type="character" w:customStyle="1" w:styleId="14">
    <w:name w:val="批注文字 字符"/>
    <w:basedOn w:val="9"/>
    <w:link w:val="2"/>
    <w:semiHidden/>
    <w:qFormat/>
    <w:uiPriority w:val="99"/>
    <w:rPr>
      <w:kern w:val="2"/>
      <w:sz w:val="21"/>
      <w:szCs w:val="22"/>
    </w:rPr>
  </w:style>
  <w:style w:type="character" w:customStyle="1" w:styleId="15">
    <w:name w:val="批注主题 字符"/>
    <w:basedOn w:val="14"/>
    <w:link w:val="7"/>
    <w:semiHidden/>
    <w:qFormat/>
    <w:uiPriority w:val="99"/>
    <w:rPr>
      <w:b/>
      <w:bCs/>
      <w:kern w:val="2"/>
      <w:sz w:val="21"/>
      <w:szCs w:val="22"/>
    </w:rPr>
  </w:style>
  <w:style w:type="character" w:customStyle="1" w:styleId="16">
    <w:name w:val="批注框文本 字符"/>
    <w:basedOn w:val="9"/>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6</Pages>
  <Words>4980</Words>
  <Characters>5231</Characters>
  <Lines>39</Lines>
  <Paragraphs>11</Paragraphs>
  <TotalTime>31</TotalTime>
  <ScaleCrop>false</ScaleCrop>
  <LinksUpToDate>false</LinksUpToDate>
  <CharactersWithSpaces>5353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2022-08-13T08:03:00Z</dcterms:created>
  <dc:creator>Windows User</dc:creator>
  <cp:lastModifiedBy>admin</cp:lastModifiedBy>
  <cp:lastPrinted>2022-09-29T03:17:02Z</cp:lastPrinted>
  <dcterms:modified xsi:type="dcterms:W3CDTF">2022-09-29T03:17:33Z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92EAA02B6B2941A38679A61D7AFEF4FC</vt:lpwstr>
  </property>
</Properties>
</file>